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4FAD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36"/>
          <w:szCs w:val="36"/>
        </w:rPr>
      </w:pPr>
      <w:r w:rsidRPr="003C6F87">
        <w:rPr>
          <w:rFonts w:eastAsia="GillSans" w:cs="Arial"/>
          <w:sz w:val="36"/>
          <w:szCs w:val="36"/>
        </w:rPr>
        <w:t>High Temperature Superconductors Come To Manhattan</w:t>
      </w:r>
    </w:p>
    <w:p w14:paraId="222990FE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36"/>
          <w:szCs w:val="36"/>
        </w:rPr>
      </w:pPr>
      <w:r w:rsidRPr="003C6F87">
        <w:rPr>
          <w:rFonts w:eastAsia="GillSans" w:cs="Arial"/>
          <w:sz w:val="36"/>
          <w:szCs w:val="36"/>
        </w:rPr>
        <w:t>Project Overview</w:t>
      </w:r>
    </w:p>
    <w:p w14:paraId="2FAC1E64" w14:textId="77777777" w:rsidR="003C6F87" w:rsidRPr="003C6F87" w:rsidRDefault="003C6F87" w:rsidP="00E52F0B">
      <w:pPr>
        <w:autoSpaceDE w:val="0"/>
        <w:autoSpaceDN w:val="0"/>
        <w:adjustRightInd w:val="0"/>
        <w:rPr>
          <w:rFonts w:eastAsia="GillSans" w:cs="Arial"/>
          <w:sz w:val="36"/>
          <w:szCs w:val="36"/>
        </w:rPr>
      </w:pPr>
    </w:p>
    <w:p w14:paraId="7916AC0E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Project: Manhattan HTS Triax Project</w:t>
      </w:r>
    </w:p>
    <w:p w14:paraId="75D38B18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Location: N. Manhattan/Yonkers, New York</w:t>
      </w:r>
    </w:p>
    <w:p w14:paraId="4F8C1B38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Project Owner: Con Edison</w:t>
      </w:r>
    </w:p>
    <w:p w14:paraId="4CFD04CA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Product Used: HTS Triax Superconducting Cable</w:t>
      </w:r>
    </w:p>
    <w:p w14:paraId="21ADA43C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In-service Date: Expected May 2013</w:t>
      </w:r>
    </w:p>
    <w:p w14:paraId="1D824606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9C51ECF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Grappling with growing power demands in densely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populated Manhattan, Consolidated Edison Company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of New York (Con Edison) wanted to link an existing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substation with a new substation being built. They were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looking for an effective way to stage development to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match revenue flow and to defer expensive transformer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costs.</w:t>
      </w:r>
    </w:p>
    <w:p w14:paraId="0A3BC1BF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318467FF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The solution is a 300-meter (984-foot), high-temperature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superconductor (HTS) cable from Southwire. The HTS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Triax cable will carry up to 4,000 A per phase at 13.8 kV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from the existing substation to the new site. As additional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transformers come to the new site, the HTS Triax cable</w:t>
      </w:r>
    </w:p>
    <w:p w14:paraId="3F967089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will serve as a bus link between the two substations,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increasing grid flexibility and system security. An added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innovation of this HTS Triax installation is a fault-current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limiting function that will further enhance distribution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reliability.</w:t>
      </w:r>
    </w:p>
    <w:p w14:paraId="09681BE1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7A022D9F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This HTS Triax substation bus-tie application lets Con Edison leverage transformer assets with a small equipment footprint, smaller right-of-way and avoidance of costly new transformers.</w:t>
      </w:r>
    </w:p>
    <w:p w14:paraId="409D3761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6A625F93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8"/>
          <w:szCs w:val="28"/>
        </w:rPr>
      </w:pPr>
      <w:r w:rsidRPr="003C6F87">
        <w:rPr>
          <w:rFonts w:eastAsia="GillSans" w:cs="Arial"/>
          <w:sz w:val="28"/>
          <w:szCs w:val="28"/>
        </w:rPr>
        <w:t>Project Hydra brings HTS Triax technology to densely populated</w:t>
      </w:r>
    </w:p>
    <w:p w14:paraId="5AF9745A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8"/>
          <w:szCs w:val="28"/>
        </w:rPr>
      </w:pPr>
      <w:r w:rsidRPr="003C6F87">
        <w:rPr>
          <w:rFonts w:eastAsia="GillSans" w:cs="Arial"/>
          <w:sz w:val="28"/>
          <w:szCs w:val="28"/>
        </w:rPr>
        <w:t>Manhattan.</w:t>
      </w:r>
    </w:p>
    <w:p w14:paraId="2EF17464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000AF60D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Urban Density Requires High Distribution Capacity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The Manhattan installation, known as Project Hydra, will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use Southwire’s HTS Triax® Superconducting Cable to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relieve distribution congestion and reduce power delivery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costs. The high-capacity HTS Triax cable lets the two</w:t>
      </w:r>
    </w:p>
    <w:p w14:paraId="3F8DFC68" w14:textId="77777777" w:rsidR="00E52F0B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Project Hydra substations share excess capacity during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peak loads or emergencies. The project is expected to be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in-service by May 2013.</w:t>
      </w:r>
    </w:p>
    <w:p w14:paraId="4518F7A7" w14:textId="77777777" w:rsidR="003C6F87" w:rsidRP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69E188EC" w14:textId="77777777" w:rsidR="00E52F0B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HTS Triax systems operate at -320˚F (-196˚C) for ultralow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loss with high current. At 4,000 A per phase, this is the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highest capacity HTS cable built to date. The high capacity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is needed to meet expected power demands.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Manhattan HTS Triax links substations,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limits fault currents</w:t>
      </w:r>
    </w:p>
    <w:p w14:paraId="0C4EBBFA" w14:textId="77777777" w:rsidR="003C6F87" w:rsidRP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438E0B0F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When multiple substations are linked in a network,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there must be fault current protection between stations.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Project Hydra’s HTS Triax installation includes a built-in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fault-current limiting function. “The distribution grid in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Manhattan is so dense that protection from fault currents</w:t>
      </w:r>
    </w:p>
    <w:p w14:paraId="3B4B22DB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is a significant engineering problem,” says David Lindsay,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Director, Distribution Engineering for Southwire.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The HTS Triax fault-protection function enhances the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action of standard protection devices.</w:t>
      </w:r>
    </w:p>
    <w:p w14:paraId="4C84EE52" w14:textId="77777777" w:rsid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2B79390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8"/>
          <w:szCs w:val="28"/>
        </w:rPr>
      </w:pPr>
      <w:r w:rsidRPr="003C6F87">
        <w:rPr>
          <w:rFonts w:eastAsia="GillSans" w:cs="Arial"/>
          <w:sz w:val="28"/>
          <w:szCs w:val="28"/>
        </w:rPr>
        <w:t>Costs dropping for established</w:t>
      </w:r>
      <w:r w:rsidR="003C6F87" w:rsidRPr="003C6F87">
        <w:rPr>
          <w:rFonts w:eastAsia="GillSans" w:cs="Arial"/>
          <w:sz w:val="28"/>
          <w:szCs w:val="28"/>
        </w:rPr>
        <w:t xml:space="preserve"> T</w:t>
      </w:r>
      <w:r w:rsidRPr="003C6F87">
        <w:rPr>
          <w:rFonts w:eastAsia="GillSans" w:cs="Arial"/>
          <w:sz w:val="28"/>
          <w:szCs w:val="28"/>
        </w:rPr>
        <w:t>echnology</w:t>
      </w:r>
    </w:p>
    <w:p w14:paraId="77A4B1A2" w14:textId="77777777" w:rsid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043F8825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HTS is now commercial technology in the cost-reduction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stage. Current HTS Triax systems use pulse-tube cryogenic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cooling technology with fewer parts, lower cost, smaller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 xml:space="preserve">footprint, and </w:t>
      </w:r>
      <w:r w:rsidRPr="003C6F87">
        <w:rPr>
          <w:rFonts w:eastAsia="GillSans" w:cs="Arial"/>
          <w:sz w:val="22"/>
          <w:szCs w:val="22"/>
        </w:rPr>
        <w:lastRenderedPageBreak/>
        <w:t>more energy-efficiency than older systems.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The combined operational time of Southwire and joint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 xml:space="preserve">venture partner </w:t>
      </w:r>
      <w:r w:rsidR="000403AC">
        <w:rPr>
          <w:rFonts w:eastAsia="GillSans" w:cs="Arial"/>
          <w:sz w:val="22"/>
          <w:szCs w:val="22"/>
        </w:rPr>
        <w:t>NKT</w:t>
      </w:r>
      <w:r w:rsidRPr="003C6F87">
        <w:rPr>
          <w:rFonts w:eastAsia="GillSans" w:cs="Arial"/>
          <w:sz w:val="22"/>
          <w:szCs w:val="22"/>
        </w:rPr>
        <w:t xml:space="preserve"> </w:t>
      </w:r>
      <w:r w:rsidR="000403AC">
        <w:rPr>
          <w:rFonts w:eastAsia="GillSans" w:cs="Arial"/>
          <w:sz w:val="22"/>
          <w:szCs w:val="22"/>
        </w:rPr>
        <w:t>C</w:t>
      </w:r>
      <w:r w:rsidRPr="003C6F87">
        <w:rPr>
          <w:rFonts w:eastAsia="GillSans" w:cs="Arial"/>
          <w:sz w:val="22"/>
          <w:szCs w:val="22"/>
        </w:rPr>
        <w:t>ables longest-running commercial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HTS projects is over 11 years. HTS projects in-power, or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soon to be, include:</w:t>
      </w:r>
    </w:p>
    <w:p w14:paraId="1456A353" w14:textId="77777777" w:rsidR="00E52F0B" w:rsidRPr="003C6F87" w:rsidRDefault="00E52F0B" w:rsidP="000403AC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• Columbus, Ohio</w:t>
      </w:r>
    </w:p>
    <w:p w14:paraId="5AC45D40" w14:textId="77777777" w:rsidR="00E52F0B" w:rsidRPr="003C6F87" w:rsidRDefault="00E52F0B" w:rsidP="000403AC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• Carrollton, Georgia</w:t>
      </w:r>
    </w:p>
    <w:p w14:paraId="3A3A3FA2" w14:textId="77777777" w:rsidR="00E52F0B" w:rsidRPr="003C6F87" w:rsidRDefault="00E52F0B" w:rsidP="000403AC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• Copenhagen, Denmark</w:t>
      </w:r>
    </w:p>
    <w:p w14:paraId="67A80C75" w14:textId="77777777" w:rsid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34F2BFD8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8"/>
          <w:szCs w:val="28"/>
        </w:rPr>
      </w:pPr>
      <w:r w:rsidRPr="003C6F87">
        <w:rPr>
          <w:rFonts w:eastAsia="GillSans" w:cs="Arial"/>
          <w:sz w:val="28"/>
          <w:szCs w:val="28"/>
        </w:rPr>
        <w:t xml:space="preserve">Southwire HTS Triax delivers </w:t>
      </w:r>
      <w:r w:rsidR="000403AC" w:rsidRPr="003C6F87">
        <w:rPr>
          <w:rFonts w:eastAsia="GillSans" w:cs="Arial"/>
          <w:sz w:val="28"/>
          <w:szCs w:val="28"/>
        </w:rPr>
        <w:t>cost effective</w:t>
      </w:r>
    </w:p>
    <w:p w14:paraId="5FB6850D" w14:textId="77777777" w:rsidR="00E52F0B" w:rsidRPr="003C6F87" w:rsidRDefault="003C6F87" w:rsidP="00E52F0B">
      <w:pPr>
        <w:autoSpaceDE w:val="0"/>
        <w:autoSpaceDN w:val="0"/>
        <w:adjustRightInd w:val="0"/>
        <w:rPr>
          <w:rFonts w:eastAsia="GillSans" w:cs="Arial"/>
          <w:sz w:val="28"/>
          <w:szCs w:val="28"/>
        </w:rPr>
      </w:pPr>
      <w:r w:rsidRPr="003C6F87">
        <w:rPr>
          <w:rFonts w:eastAsia="GillSans" w:cs="Arial"/>
          <w:sz w:val="28"/>
          <w:szCs w:val="28"/>
        </w:rPr>
        <w:t>D</w:t>
      </w:r>
      <w:r w:rsidR="00E52F0B" w:rsidRPr="003C6F87">
        <w:rPr>
          <w:rFonts w:eastAsia="GillSans" w:cs="Arial"/>
          <w:sz w:val="28"/>
          <w:szCs w:val="28"/>
        </w:rPr>
        <w:t>istribution</w:t>
      </w:r>
    </w:p>
    <w:p w14:paraId="781B3DC7" w14:textId="77777777" w:rsidR="003C6F87" w:rsidRP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481DF760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Southwire has been pioneering HTS projects since the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late 1990s. HTS Triax cable systems rely on Southwire’s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compact second-generation design, which puts all phase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conductors in one cable. These high-capacity, ultra-</w:t>
      </w:r>
      <w:r w:rsidR="000403AC" w:rsidRPr="003C6F87">
        <w:rPr>
          <w:rFonts w:eastAsia="GillSans" w:cs="Arial"/>
          <w:sz w:val="22"/>
          <w:szCs w:val="22"/>
        </w:rPr>
        <w:t>low loss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cables can be retrofitted into existing infrastructure</w:t>
      </w:r>
    </w:p>
    <w:p w14:paraId="40A7EFEC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to relieve distribution bottlenecks in congested urban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grids.</w:t>
      </w:r>
    </w:p>
    <w:p w14:paraId="05AC069B" w14:textId="77777777" w:rsid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338621EE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Lindsay says, “This HTS Triax substation bus-tie application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lets Con Edison leverage transformer assets with a small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equipment footprint, smaller right-of-way and avoidance of</w:t>
      </w:r>
    </w:p>
    <w:p w14:paraId="3BD07516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costly new transformers.”</w:t>
      </w:r>
    </w:p>
    <w:p w14:paraId="4728ADB9" w14:textId="77777777" w:rsid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7E9D7F26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8"/>
          <w:szCs w:val="28"/>
        </w:rPr>
      </w:pPr>
      <w:r w:rsidRPr="003C6F87">
        <w:rPr>
          <w:rFonts w:eastAsia="GillSans" w:cs="Arial"/>
          <w:sz w:val="28"/>
          <w:szCs w:val="28"/>
        </w:rPr>
        <w:t>Partners Developed Manhattan</w:t>
      </w:r>
      <w:r w:rsidR="003C6F87" w:rsidRPr="003C6F87">
        <w:rPr>
          <w:rFonts w:eastAsia="GillSans" w:cs="Arial"/>
          <w:sz w:val="28"/>
          <w:szCs w:val="28"/>
        </w:rPr>
        <w:t xml:space="preserve"> </w:t>
      </w:r>
      <w:r w:rsidRPr="003C6F87">
        <w:rPr>
          <w:rFonts w:eastAsia="GillSans" w:cs="Arial"/>
          <w:sz w:val="28"/>
          <w:szCs w:val="28"/>
        </w:rPr>
        <w:t>New York HTS Triax Project</w:t>
      </w:r>
    </w:p>
    <w:p w14:paraId="7B23D90D" w14:textId="77777777" w:rsidR="003C6F87" w:rsidRDefault="003C6F87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94AB87E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The Manhattan New York HTS Triax installation is being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developed by Southwire Company and its partners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American Superconductor, Con Edison of New York, U.S.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Department of Energy Oak Ridge National Laboratory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and the U.S. Department of Homeland Security. The HTS</w:t>
      </w:r>
    </w:p>
    <w:p w14:paraId="32947B7D" w14:textId="77777777" w:rsidR="00E52F0B" w:rsidRPr="003C6F87" w:rsidRDefault="00E52F0B" w:rsidP="00E52F0B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Triax cable was designed in the Ultera joint venture of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 xml:space="preserve">Southwire and </w:t>
      </w:r>
      <w:r w:rsidR="000403AC">
        <w:rPr>
          <w:rFonts w:eastAsia="GillSans" w:cs="Arial"/>
          <w:sz w:val="22"/>
          <w:szCs w:val="22"/>
        </w:rPr>
        <w:t>NKT</w:t>
      </w:r>
      <w:r w:rsidRPr="003C6F87">
        <w:rPr>
          <w:rFonts w:eastAsia="GillSans" w:cs="Arial"/>
          <w:sz w:val="22"/>
          <w:szCs w:val="22"/>
        </w:rPr>
        <w:t xml:space="preserve"> </w:t>
      </w:r>
      <w:r w:rsidR="000403AC">
        <w:rPr>
          <w:rFonts w:eastAsia="GillSans" w:cs="Arial"/>
          <w:sz w:val="22"/>
          <w:szCs w:val="22"/>
        </w:rPr>
        <w:t>C</w:t>
      </w:r>
      <w:r w:rsidRPr="003C6F87">
        <w:rPr>
          <w:rFonts w:eastAsia="GillSans" w:cs="Arial"/>
          <w:sz w:val="22"/>
          <w:szCs w:val="22"/>
        </w:rPr>
        <w:t>ables, a European cable manufacturer.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“High-temperature” is Relative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“High-temperature” superconductivity (HTS) is relative:</w:t>
      </w:r>
    </w:p>
    <w:p w14:paraId="0552295B" w14:textId="77777777" w:rsidR="00E52F0B" w:rsidRPr="003C6F87" w:rsidRDefault="00E52F0B" w:rsidP="000403AC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3C6F87">
        <w:rPr>
          <w:rFonts w:eastAsia="GillSans" w:cs="Arial"/>
          <w:sz w:val="22"/>
          <w:szCs w:val="22"/>
        </w:rPr>
        <w:t>HTS conductors run in liquid nitrogen at -320˚F (-196˚C).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 xml:space="preserve">Operating with almost no resistance, HTS puts </w:t>
      </w:r>
      <w:r w:rsidR="000403AC" w:rsidRPr="003C6F87">
        <w:rPr>
          <w:rFonts w:eastAsia="GillSans" w:cs="Arial"/>
          <w:sz w:val="22"/>
          <w:szCs w:val="22"/>
        </w:rPr>
        <w:t>high density</w:t>
      </w:r>
      <w:r w:rsidRPr="003C6F87">
        <w:rPr>
          <w:rFonts w:eastAsia="GillSans" w:cs="Arial"/>
          <w:sz w:val="22"/>
          <w:szCs w:val="22"/>
        </w:rPr>
        <w:t>,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low-loss capacity in existing duct banks. That’s a</w:t>
      </w:r>
      <w:r w:rsidR="000403AC">
        <w:rPr>
          <w:rFonts w:eastAsia="GillSans" w:cs="Arial"/>
          <w:sz w:val="22"/>
          <w:szCs w:val="22"/>
        </w:rPr>
        <w:t xml:space="preserve"> </w:t>
      </w:r>
      <w:r w:rsidRPr="003C6F87">
        <w:rPr>
          <w:rFonts w:eastAsia="GillSans" w:cs="Arial"/>
          <w:sz w:val="22"/>
          <w:szCs w:val="22"/>
        </w:rPr>
        <w:t>key to cost-effectiveness in urban settings.</w:t>
      </w:r>
    </w:p>
    <w:sectPr w:rsidR="00E52F0B" w:rsidRPr="003C6F87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Malgun Gothic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1A6F"/>
    <w:multiLevelType w:val="hybridMultilevel"/>
    <w:tmpl w:val="AFF0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403AC"/>
    <w:rsid w:val="003C6F87"/>
    <w:rsid w:val="004F3FD1"/>
    <w:rsid w:val="006F0E10"/>
    <w:rsid w:val="007C2FC7"/>
    <w:rsid w:val="00D50E4F"/>
    <w:rsid w:val="00D70521"/>
    <w:rsid w:val="00E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0E460"/>
  <w15:chartTrackingRefBased/>
  <w15:docId w15:val="{C944A75E-A83F-4D7C-A05E-51FE4F02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Temperature Superconductors Come To Manhattan</vt:lpstr>
    </vt:vector>
  </TitlesOfParts>
  <Company>DevTec Global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Temperature Superconductors Come To Manhattan</dc:title>
  <dc:subject/>
  <dc:creator>Tino Randall</dc:creator>
  <cp:keywords/>
  <dc:description/>
  <cp:lastModifiedBy>Tino Randall</cp:lastModifiedBy>
  <cp:revision>2</cp:revision>
  <dcterms:created xsi:type="dcterms:W3CDTF">2020-11-07T22:12:00Z</dcterms:created>
  <dcterms:modified xsi:type="dcterms:W3CDTF">2020-11-07T22:12:00Z</dcterms:modified>
</cp:coreProperties>
</file>